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6E1" w:rsidRDefault="00630F39">
      <w:pPr>
        <w:rPr>
          <w:rFonts w:ascii="Open Sans" w:eastAsia="Open Sans" w:hAnsi="Open Sans" w:cs="Open Sans"/>
          <w:b/>
          <w:color w:val="672789"/>
          <w:sz w:val="30"/>
          <w:szCs w:val="30"/>
        </w:rPr>
      </w:pPr>
      <w:r>
        <w:rPr>
          <w:rFonts w:ascii="Open Sans" w:eastAsia="Open Sans" w:hAnsi="Open Sans" w:cs="Open Sans"/>
          <w:b/>
          <w:color w:val="672789"/>
          <w:sz w:val="30"/>
          <w:szCs w:val="30"/>
        </w:rPr>
        <w:t>UKAgeNet - Dunhill Medical Trust Discipline Hopping Scheme for Ageing Research</w:t>
      </w:r>
    </w:p>
    <w:p w:rsidR="002006E1" w:rsidRDefault="00630F39">
      <w:pPr>
        <w:rPr>
          <w:rFonts w:ascii="Open Sans" w:eastAsia="Open Sans" w:hAnsi="Open Sans" w:cs="Open Sans"/>
          <w:b/>
          <w:color w:val="672789"/>
          <w:sz w:val="30"/>
          <w:szCs w:val="30"/>
        </w:rPr>
      </w:pPr>
      <w:r>
        <w:rPr>
          <w:rFonts w:ascii="Open Sans" w:eastAsia="Open Sans" w:hAnsi="Open Sans" w:cs="Open Sans"/>
          <w:b/>
          <w:color w:val="672789"/>
          <w:sz w:val="30"/>
          <w:szCs w:val="30"/>
        </w:rPr>
        <w:t>Guidance Notes</w:t>
      </w:r>
    </w:p>
    <w:p w:rsidR="002006E1" w:rsidRDefault="00630F39">
      <w:pPr>
        <w:rPr>
          <w:rFonts w:ascii="Open Sans Medium" w:eastAsia="Open Sans Medium" w:hAnsi="Open Sans Medium" w:cs="Open Sans Medium"/>
          <w:i/>
          <w:sz w:val="20"/>
          <w:szCs w:val="20"/>
        </w:rPr>
      </w:pPr>
      <w:r>
        <w:pict w14:anchorId="283BEA97">
          <v:rect id="_x0000_i1025" style="width:0;height:1.5pt" o:hralign="center" o:hrstd="t" o:hr="t" fillcolor="#a0a0a0" stroked="f"/>
        </w:pict>
      </w:r>
    </w:p>
    <w:sdt>
      <w:sdtPr>
        <w:id w:val="990605139"/>
        <w:docPartObj>
          <w:docPartGallery w:val="Table of Contents"/>
          <w:docPartUnique/>
        </w:docPartObj>
      </w:sdtPr>
      <w:sdtEndPr/>
      <w:sdtContent>
        <w:p w:rsidR="002006E1" w:rsidRDefault="00630F39">
          <w:pPr>
            <w:widowControl w:val="0"/>
            <w:tabs>
              <w:tab w:val="right" w:pos="9025"/>
            </w:tabs>
            <w:spacing w:before="60" w:line="240" w:lineRule="auto"/>
            <w:rPr>
              <w:rFonts w:ascii="Open Sans" w:eastAsia="Open Sans" w:hAnsi="Open Sans" w:cs="Open Sans"/>
              <w:b/>
              <w:color w:val="000000"/>
            </w:rPr>
          </w:pPr>
          <w:r>
            <w:fldChar w:fldCharType="begin"/>
          </w:r>
          <w:r>
            <w:instrText xml:space="preserve"> TOC \h \u \z \t "Heading 1,1,Heading 2,2,Heading 3,3,Heading 4,4,Heading 5,5,Heading 6,6,"</w:instrText>
          </w:r>
          <w:r>
            <w:fldChar w:fldCharType="separate"/>
          </w:r>
          <w:hyperlink w:anchor="_heading=h.gjdgxs">
            <w:r>
              <w:rPr>
                <w:rFonts w:ascii="Open Sans" w:eastAsia="Open Sans" w:hAnsi="Open Sans" w:cs="Open Sans"/>
                <w:b/>
                <w:color w:val="000000"/>
              </w:rPr>
              <w:t>Summary/Background</w:t>
            </w:r>
            <w:r>
              <w:rPr>
                <w:rFonts w:ascii="Open Sans" w:eastAsia="Open Sans" w:hAnsi="Open Sans" w:cs="Open Sans"/>
                <w:b/>
                <w:color w:val="000000"/>
              </w:rPr>
              <w:tab/>
            </w:r>
          </w:hyperlink>
          <w:r>
            <w:fldChar w:fldCharType="begin"/>
          </w:r>
          <w:r>
            <w:instrText xml:space="preserve"> PAGEREF _heading=h.gjdgxs \h </w:instrText>
          </w:r>
          <w:r>
            <w:fldChar w:fldCharType="separate"/>
          </w:r>
          <w:r>
            <w:rPr>
              <w:rFonts w:ascii="Open Sans" w:eastAsia="Open Sans" w:hAnsi="Open Sans" w:cs="Open Sans"/>
              <w:b/>
            </w:rPr>
            <w:t>1</w:t>
          </w:r>
          <w:hyperlink w:anchor="_heading=h.gjdgxs" w:history="1"/>
        </w:p>
        <w:p w:rsidR="002006E1" w:rsidRDefault="00630F39">
          <w:pPr>
            <w:widowControl w:val="0"/>
            <w:tabs>
              <w:tab w:val="right" w:pos="9025"/>
            </w:tabs>
            <w:spacing w:before="60" w:line="240" w:lineRule="auto"/>
            <w:rPr>
              <w:rFonts w:ascii="Open Sans" w:eastAsia="Open Sans" w:hAnsi="Open Sans" w:cs="Open Sans"/>
              <w:b/>
              <w:color w:val="000000"/>
            </w:rPr>
          </w:pPr>
          <w:r>
            <w:fldChar w:fldCharType="end"/>
          </w:r>
          <w:hyperlink w:anchor="_heading=h.30j0zll">
            <w:r>
              <w:rPr>
                <w:rFonts w:ascii="Open Sans" w:eastAsia="Open Sans" w:hAnsi="Open Sans" w:cs="Open Sans"/>
                <w:b/>
                <w:color w:val="000000"/>
              </w:rPr>
              <w:t>Eligibility and Criteria</w:t>
            </w:r>
            <w:r>
              <w:rPr>
                <w:rFonts w:ascii="Open Sans" w:eastAsia="Open Sans" w:hAnsi="Open Sans" w:cs="Open Sans"/>
                <w:b/>
                <w:color w:val="000000"/>
              </w:rPr>
              <w:tab/>
            </w:r>
          </w:hyperlink>
          <w:r>
            <w:fldChar w:fldCharType="begin"/>
          </w:r>
          <w:r>
            <w:instrText xml:space="preserve"> PAGEREF _heading=h.30j0zll \h </w:instrText>
          </w:r>
          <w:r>
            <w:fldChar w:fldCharType="separate"/>
          </w:r>
          <w:r>
            <w:rPr>
              <w:rFonts w:ascii="Open Sans" w:eastAsia="Open Sans" w:hAnsi="Open Sans" w:cs="Open Sans"/>
              <w:b/>
            </w:rPr>
            <w:t>1</w:t>
          </w:r>
          <w:hyperlink w:anchor="_heading=h.30j0zll" w:history="1"/>
        </w:p>
        <w:p w:rsidR="002006E1" w:rsidRDefault="00630F39">
          <w:pPr>
            <w:widowControl w:val="0"/>
            <w:tabs>
              <w:tab w:val="right" w:pos="9025"/>
            </w:tabs>
            <w:spacing w:before="60" w:line="240" w:lineRule="auto"/>
            <w:rPr>
              <w:rFonts w:ascii="Open Sans" w:eastAsia="Open Sans" w:hAnsi="Open Sans" w:cs="Open Sans"/>
              <w:b/>
              <w:color w:val="000000"/>
            </w:rPr>
          </w:pPr>
          <w:r>
            <w:fldChar w:fldCharType="end"/>
          </w:r>
          <w:hyperlink w:anchor="_heading=h.1fob9te">
            <w:r>
              <w:rPr>
                <w:rFonts w:ascii="Open Sans" w:eastAsia="Open Sans" w:hAnsi="Open Sans" w:cs="Open Sans"/>
                <w:b/>
                <w:color w:val="000000"/>
              </w:rPr>
              <w:t>Eligible Costs and Activities</w:t>
            </w:r>
            <w:r>
              <w:rPr>
                <w:rFonts w:ascii="Open Sans" w:eastAsia="Open Sans" w:hAnsi="Open Sans" w:cs="Open Sans"/>
                <w:b/>
                <w:color w:val="000000"/>
              </w:rPr>
              <w:tab/>
            </w:r>
          </w:hyperlink>
          <w:r>
            <w:fldChar w:fldCharType="begin"/>
          </w:r>
          <w:r>
            <w:instrText xml:space="preserve"> PAGEREF _heading=h.1fob9te \h </w:instrText>
          </w:r>
          <w:r>
            <w:fldChar w:fldCharType="separate"/>
          </w:r>
          <w:r>
            <w:rPr>
              <w:rFonts w:ascii="Open Sans" w:eastAsia="Open Sans" w:hAnsi="Open Sans" w:cs="Open Sans"/>
              <w:b/>
            </w:rPr>
            <w:t>2</w:t>
          </w:r>
          <w:hyperlink w:anchor="_heading=h.1fob9te" w:history="1"/>
        </w:p>
        <w:p w:rsidR="002006E1" w:rsidRDefault="00630F39">
          <w:pPr>
            <w:widowControl w:val="0"/>
            <w:tabs>
              <w:tab w:val="right" w:pos="9025"/>
            </w:tabs>
            <w:spacing w:before="60" w:line="240" w:lineRule="auto"/>
            <w:rPr>
              <w:rFonts w:ascii="Open Sans" w:eastAsia="Open Sans" w:hAnsi="Open Sans" w:cs="Open Sans"/>
              <w:b/>
              <w:color w:val="000000"/>
            </w:rPr>
          </w:pPr>
          <w:r>
            <w:fldChar w:fldCharType="end"/>
          </w:r>
          <w:hyperlink w:anchor="_heading=h.3znysh7">
            <w:r>
              <w:rPr>
                <w:rFonts w:ascii="Open Sans" w:eastAsia="Open Sans" w:hAnsi="Open Sans" w:cs="Open Sans"/>
                <w:b/>
                <w:color w:val="000000"/>
              </w:rPr>
              <w:t>How to Apply</w:t>
            </w:r>
            <w:r>
              <w:rPr>
                <w:rFonts w:ascii="Open Sans" w:eastAsia="Open Sans" w:hAnsi="Open Sans" w:cs="Open Sans"/>
                <w:b/>
                <w:color w:val="000000"/>
              </w:rPr>
              <w:tab/>
            </w:r>
          </w:hyperlink>
          <w:r>
            <w:fldChar w:fldCharType="begin"/>
          </w:r>
          <w:r>
            <w:instrText xml:space="preserve"> PAGEREF _heading=h.3znysh7 \h </w:instrText>
          </w:r>
          <w:r>
            <w:fldChar w:fldCharType="separate"/>
          </w:r>
          <w:r>
            <w:rPr>
              <w:rFonts w:ascii="Open Sans" w:eastAsia="Open Sans" w:hAnsi="Open Sans" w:cs="Open Sans"/>
              <w:b/>
            </w:rPr>
            <w:t>2</w:t>
          </w:r>
          <w:hyperlink w:anchor="_heading=h.3znysh7" w:history="1"/>
        </w:p>
        <w:p w:rsidR="002006E1" w:rsidRDefault="00630F39">
          <w:pPr>
            <w:widowControl w:val="0"/>
            <w:tabs>
              <w:tab w:val="right" w:pos="9025"/>
            </w:tabs>
            <w:spacing w:before="60" w:line="240" w:lineRule="auto"/>
            <w:rPr>
              <w:rFonts w:ascii="Open Sans" w:eastAsia="Open Sans" w:hAnsi="Open Sans" w:cs="Open Sans"/>
              <w:b/>
              <w:color w:val="000000"/>
            </w:rPr>
          </w:pPr>
          <w:r>
            <w:fldChar w:fldCharType="end"/>
          </w:r>
          <w:hyperlink w:anchor="_heading=h.tyjcwt">
            <w:r>
              <w:rPr>
                <w:rFonts w:ascii="Open Sans" w:eastAsia="Open Sans" w:hAnsi="Open Sans" w:cs="Open Sans"/>
                <w:b/>
                <w:color w:val="000000"/>
              </w:rPr>
              <w:t>Timeline</w:t>
            </w:r>
            <w:r>
              <w:rPr>
                <w:rFonts w:ascii="Open Sans" w:eastAsia="Open Sans" w:hAnsi="Open Sans" w:cs="Open Sans"/>
                <w:b/>
                <w:color w:val="000000"/>
              </w:rPr>
              <w:tab/>
            </w:r>
          </w:hyperlink>
          <w:r>
            <w:fldChar w:fldCharType="begin"/>
          </w:r>
          <w:r>
            <w:instrText xml:space="preserve"> PAGEREF _heading=h.tyjcwt \h </w:instrText>
          </w:r>
          <w:r>
            <w:fldChar w:fldCharType="separate"/>
          </w:r>
          <w:r>
            <w:rPr>
              <w:rFonts w:ascii="Open Sans" w:eastAsia="Open Sans" w:hAnsi="Open Sans" w:cs="Open Sans"/>
              <w:b/>
            </w:rPr>
            <w:t>2</w:t>
          </w:r>
          <w:hyperlink w:anchor="_heading=h.tyjcwt" w:history="1"/>
        </w:p>
        <w:p w:rsidR="002006E1" w:rsidRDefault="00630F39">
          <w:pPr>
            <w:widowControl w:val="0"/>
            <w:tabs>
              <w:tab w:val="right" w:pos="9025"/>
            </w:tabs>
            <w:spacing w:before="60" w:line="240" w:lineRule="auto"/>
            <w:rPr>
              <w:rFonts w:ascii="Open Sans" w:eastAsia="Open Sans" w:hAnsi="Open Sans" w:cs="Open Sans"/>
              <w:b/>
              <w:color w:val="000000"/>
            </w:rPr>
          </w:pPr>
          <w:r>
            <w:fldChar w:fldCharType="end"/>
          </w:r>
          <w:hyperlink w:anchor="_heading=h.1t3h5sf">
            <w:r>
              <w:rPr>
                <w:rFonts w:ascii="Open Sans" w:eastAsia="Open Sans" w:hAnsi="Open Sans" w:cs="Open Sans"/>
                <w:b/>
                <w:color w:val="000000"/>
              </w:rPr>
              <w:t>Successful Candidates</w:t>
            </w:r>
            <w:r>
              <w:rPr>
                <w:rFonts w:ascii="Open Sans" w:eastAsia="Open Sans" w:hAnsi="Open Sans" w:cs="Open Sans"/>
                <w:b/>
                <w:color w:val="000000"/>
              </w:rPr>
              <w:tab/>
            </w:r>
          </w:hyperlink>
          <w:r>
            <w:fldChar w:fldCharType="begin"/>
          </w:r>
          <w:r>
            <w:instrText xml:space="preserve"> PAGEREF _heading=h.1t3h5sf \h </w:instrText>
          </w:r>
          <w:r>
            <w:fldChar w:fldCharType="separate"/>
          </w:r>
          <w:r>
            <w:rPr>
              <w:rFonts w:ascii="Open Sans" w:eastAsia="Open Sans" w:hAnsi="Open Sans" w:cs="Open Sans"/>
              <w:b/>
            </w:rPr>
            <w:t>2</w:t>
          </w:r>
          <w:r>
            <w:fldChar w:fldCharType="end"/>
          </w:r>
          <w:r>
            <w:fldChar w:fldCharType="end"/>
          </w:r>
        </w:p>
      </w:sdtContent>
    </w:sdt>
    <w:p w:rsidR="002006E1" w:rsidRDefault="00630F39">
      <w:pPr>
        <w:rPr>
          <w:rFonts w:ascii="Open Sans" w:eastAsia="Open Sans" w:hAnsi="Open Sans" w:cs="Open Sans"/>
          <w:b/>
          <w:sz w:val="20"/>
          <w:szCs w:val="20"/>
        </w:rPr>
      </w:pPr>
      <w:r>
        <w:pict w14:anchorId="1DCC2CE6">
          <v:rect id="_x0000_i1026" style="width:0;height:1.5pt" o:hralign="center" o:hrstd="t" o:hr="t" fillcolor="#a0a0a0" stroked="f"/>
        </w:pict>
      </w:r>
    </w:p>
    <w:p w:rsidR="002006E1" w:rsidRDefault="002006E1">
      <w:pPr>
        <w:rPr>
          <w:rFonts w:ascii="Open Sans" w:eastAsia="Open Sans" w:hAnsi="Open Sans" w:cs="Open Sans"/>
          <w:b/>
          <w:sz w:val="20"/>
          <w:szCs w:val="20"/>
        </w:rPr>
      </w:pPr>
    </w:p>
    <w:p w:rsidR="002006E1" w:rsidRDefault="00630F39">
      <w:pPr>
        <w:pStyle w:val="Heading3"/>
        <w:rPr>
          <w:rFonts w:ascii="Open Sans Medium" w:eastAsia="Open Sans Medium" w:hAnsi="Open Sans Medium" w:cs="Open Sans Medium"/>
          <w:sz w:val="20"/>
          <w:szCs w:val="20"/>
        </w:rPr>
      </w:pPr>
      <w:bookmarkStart w:id="0" w:name="_heading=h.gjdgxs" w:colFirst="0" w:colLast="0"/>
      <w:bookmarkEnd w:id="0"/>
      <w:r>
        <w:t xml:space="preserve">Summary/Background </w:t>
      </w:r>
    </w:p>
    <w:p w:rsidR="002006E1" w:rsidRDefault="00630F39">
      <w:pPr>
        <w:rPr>
          <w:rFonts w:ascii="Open Sans" w:eastAsia="Open Sans" w:hAnsi="Open Sans" w:cs="Open Sans"/>
          <w:b/>
          <w:sz w:val="20"/>
          <w:szCs w:val="20"/>
        </w:rPr>
      </w:pPr>
      <w:r>
        <w:rPr>
          <w:rFonts w:ascii="Open Sans Medium" w:eastAsia="Open Sans Medium" w:hAnsi="Open Sans Medium" w:cs="Open Sans Medium"/>
          <w:sz w:val="20"/>
          <w:szCs w:val="20"/>
        </w:rPr>
        <w:t>We are delighted to announce the availability of 2 bursari</w:t>
      </w:r>
      <w:r>
        <w:rPr>
          <w:rFonts w:ascii="Open Sans Medium" w:eastAsia="Open Sans Medium" w:hAnsi="Open Sans Medium" w:cs="Open Sans Medium"/>
          <w:sz w:val="20"/>
          <w:szCs w:val="20"/>
        </w:rPr>
        <w:t xml:space="preserve">es of up to £5000 each to support PhD students in the field of ageing and age-related diseases to train in a new discipline and promote </w:t>
      </w:r>
      <w:proofErr w:type="spellStart"/>
      <w:r>
        <w:rPr>
          <w:rFonts w:ascii="Open Sans Medium" w:eastAsia="Open Sans Medium" w:hAnsi="Open Sans Medium" w:cs="Open Sans Medium"/>
          <w:sz w:val="20"/>
          <w:szCs w:val="20"/>
        </w:rPr>
        <w:t>interdisciplinarity</w:t>
      </w:r>
      <w:proofErr w:type="spellEnd"/>
      <w:r>
        <w:rPr>
          <w:rFonts w:ascii="Open Sans Medium" w:eastAsia="Open Sans Medium" w:hAnsi="Open Sans Medium" w:cs="Open Sans Medium"/>
          <w:sz w:val="20"/>
          <w:szCs w:val="20"/>
        </w:rPr>
        <w:t xml:space="preserve"> across researchers based in institutions who are part of UKAgeNet </w:t>
      </w:r>
      <w:proofErr w:type="gramStart"/>
      <w:r>
        <w:rPr>
          <w:rFonts w:ascii="Open Sans Medium" w:eastAsia="Open Sans Medium" w:hAnsi="Open Sans Medium" w:cs="Open Sans Medium"/>
          <w:sz w:val="20"/>
          <w:szCs w:val="20"/>
        </w:rPr>
        <w:t>or</w:t>
      </w:r>
      <w:proofErr w:type="gramEnd"/>
      <w:r>
        <w:rPr>
          <w:rFonts w:ascii="Open Sans Medium" w:eastAsia="Open Sans Medium" w:hAnsi="Open Sans Medium" w:cs="Open Sans Medium"/>
          <w:sz w:val="20"/>
          <w:szCs w:val="20"/>
        </w:rPr>
        <w:t xml:space="preserve"> are members of the Dunhill Medi</w:t>
      </w:r>
      <w:r>
        <w:rPr>
          <w:rFonts w:ascii="Open Sans Medium" w:eastAsia="Open Sans Medium" w:hAnsi="Open Sans Medium" w:cs="Open Sans Medium"/>
          <w:sz w:val="20"/>
          <w:szCs w:val="20"/>
        </w:rPr>
        <w:t>cal Trust Academy. The proposed project can be an extension of the PhD program of work, a new interdisciplinary angle or a new project. Involvement of the supervisors is an advantage, but not essential, provided there is a letter of support. Discipline hop</w:t>
      </w:r>
      <w:r>
        <w:rPr>
          <w:rFonts w:ascii="Open Sans Medium" w:eastAsia="Open Sans Medium" w:hAnsi="Open Sans Medium" w:cs="Open Sans Medium"/>
          <w:sz w:val="20"/>
          <w:szCs w:val="20"/>
        </w:rPr>
        <w:t xml:space="preserve">ping is defined as traversing the Biological/Biomedical to the Social Sciences, or </w:t>
      </w:r>
      <w:r>
        <w:rPr>
          <w:rFonts w:ascii="Open Sans" w:eastAsia="Open Sans" w:hAnsi="Open Sans" w:cs="Open Sans"/>
          <w:b/>
          <w:sz w:val="20"/>
          <w:szCs w:val="20"/>
          <w:u w:val="single"/>
        </w:rPr>
        <w:t>vice versa</w:t>
      </w:r>
      <w:r>
        <w:rPr>
          <w:rFonts w:ascii="Open Sans Medium" w:eastAsia="Open Sans Medium" w:hAnsi="Open Sans Medium" w:cs="Open Sans Medium"/>
          <w:sz w:val="20"/>
          <w:szCs w:val="20"/>
        </w:rPr>
        <w:t xml:space="preserve">, or hopping from academia to policy making institutions (see eligibility criteria below).  </w:t>
      </w:r>
    </w:p>
    <w:p w:rsidR="002006E1" w:rsidRDefault="002006E1">
      <w:pPr>
        <w:rPr>
          <w:rFonts w:ascii="Open Sans Medium" w:eastAsia="Open Sans Medium" w:hAnsi="Open Sans Medium" w:cs="Open Sans Medium"/>
          <w:sz w:val="20"/>
          <w:szCs w:val="20"/>
        </w:rPr>
      </w:pPr>
    </w:p>
    <w:p w:rsidR="002006E1" w:rsidRDefault="00630F39">
      <w:p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 xml:space="preserve">The scheme, funded by a Dunhill Medical Trust Academy Excellence Award for Senior Leadership </w:t>
      </w:r>
      <w:proofErr w:type="gramStart"/>
      <w:r>
        <w:rPr>
          <w:rFonts w:ascii="Open Sans Medium" w:eastAsia="Open Sans Medium" w:hAnsi="Open Sans Medium" w:cs="Open Sans Medium"/>
          <w:sz w:val="20"/>
          <w:szCs w:val="20"/>
        </w:rPr>
        <w:t>conferred  to</w:t>
      </w:r>
      <w:proofErr w:type="gramEnd"/>
      <w:r>
        <w:rPr>
          <w:rFonts w:ascii="Open Sans Medium" w:eastAsia="Open Sans Medium" w:hAnsi="Open Sans Medium" w:cs="Open Sans Medium"/>
          <w:sz w:val="20"/>
          <w:szCs w:val="20"/>
        </w:rPr>
        <w:t xml:space="preserve"> Professor </w:t>
      </w:r>
      <w:proofErr w:type="spellStart"/>
      <w:r>
        <w:rPr>
          <w:rFonts w:ascii="Open Sans Medium" w:eastAsia="Open Sans Medium" w:hAnsi="Open Sans Medium" w:cs="Open Sans Medium"/>
          <w:sz w:val="20"/>
          <w:szCs w:val="20"/>
        </w:rPr>
        <w:t>Ilaria</w:t>
      </w:r>
      <w:proofErr w:type="spellEnd"/>
      <w:r>
        <w:rPr>
          <w:rFonts w:ascii="Open Sans Medium" w:eastAsia="Open Sans Medium" w:hAnsi="Open Sans Medium" w:cs="Open Sans Medium"/>
          <w:sz w:val="20"/>
          <w:szCs w:val="20"/>
        </w:rPr>
        <w:t xml:space="preserve"> </w:t>
      </w:r>
      <w:proofErr w:type="spellStart"/>
      <w:r>
        <w:rPr>
          <w:rFonts w:ascii="Open Sans Medium" w:eastAsia="Open Sans Medium" w:hAnsi="Open Sans Medium" w:cs="Open Sans Medium"/>
          <w:sz w:val="20"/>
          <w:szCs w:val="20"/>
        </w:rPr>
        <w:t>Bellantuono</w:t>
      </w:r>
      <w:proofErr w:type="spellEnd"/>
      <w:r>
        <w:rPr>
          <w:rFonts w:ascii="Open Sans Medium" w:eastAsia="Open Sans Medium" w:hAnsi="Open Sans Medium" w:cs="Open Sans Medium"/>
          <w:sz w:val="20"/>
          <w:szCs w:val="20"/>
        </w:rPr>
        <w:t xml:space="preserve">, aims to: </w:t>
      </w:r>
    </w:p>
    <w:p w:rsidR="002006E1" w:rsidRDefault="00630F39">
      <w:pPr>
        <w:numPr>
          <w:ilvl w:val="0"/>
          <w:numId w:val="2"/>
        </w:numPr>
        <w:spacing w:before="240"/>
        <w:rPr>
          <w:rFonts w:ascii="Open Sans Medium" w:eastAsia="Open Sans Medium" w:hAnsi="Open Sans Medium" w:cs="Open Sans Medium"/>
          <w:sz w:val="20"/>
          <w:szCs w:val="20"/>
        </w:rPr>
      </w:pPr>
      <w:r>
        <w:rPr>
          <w:rFonts w:ascii="Open Sans Medium" w:eastAsia="Open Sans Medium" w:hAnsi="Open Sans Medium" w:cs="Open Sans Medium"/>
          <w:sz w:val="20"/>
          <w:szCs w:val="20"/>
        </w:rPr>
        <w:t>Facilitate the development of interdisciplinary skills of the next generation of ageing researchers by immers</w:t>
      </w:r>
      <w:r>
        <w:rPr>
          <w:rFonts w:ascii="Open Sans Medium" w:eastAsia="Open Sans Medium" w:hAnsi="Open Sans Medium" w:cs="Open Sans Medium"/>
          <w:sz w:val="20"/>
          <w:szCs w:val="20"/>
        </w:rPr>
        <w:t>ing them in environments which challenge traditional academic silos;</w:t>
      </w:r>
    </w:p>
    <w:p w:rsidR="002006E1" w:rsidRDefault="00630F39">
      <w:pPr>
        <w:numPr>
          <w:ilvl w:val="0"/>
          <w:numId w:val="2"/>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Develop vital new research collaborations across disciplines in the main challenge areas related to the field of ageing;</w:t>
      </w:r>
    </w:p>
    <w:p w:rsidR="002006E1" w:rsidRDefault="00630F39">
      <w:pPr>
        <w:numPr>
          <w:ilvl w:val="0"/>
          <w:numId w:val="2"/>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Facilitate the sharing of insight and learning and establish syner</w:t>
      </w:r>
      <w:r>
        <w:rPr>
          <w:rFonts w:ascii="Open Sans Medium" w:eastAsia="Open Sans Medium" w:hAnsi="Open Sans Medium" w:cs="Open Sans Medium"/>
          <w:sz w:val="20"/>
          <w:szCs w:val="20"/>
        </w:rPr>
        <w:t>gies and connections needed for the integration of the biomedical- and the social- based sciences needed to tackle challenges holistically.</w:t>
      </w:r>
    </w:p>
    <w:p w:rsidR="002006E1" w:rsidRDefault="00F049A4">
      <w:pPr>
        <w:numPr>
          <w:ilvl w:val="0"/>
          <w:numId w:val="2"/>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 xml:space="preserve">Allow PhD students </w:t>
      </w:r>
      <w:r w:rsidR="00630F39">
        <w:rPr>
          <w:rFonts w:ascii="Open Sans Medium" w:eastAsia="Open Sans Medium" w:hAnsi="Open Sans Medium" w:cs="Open Sans Medium"/>
          <w:sz w:val="20"/>
          <w:szCs w:val="20"/>
        </w:rPr>
        <w:t>to work directly with stakeholders to accelerate impact (i.e. with policymakers and non-governme</w:t>
      </w:r>
      <w:r w:rsidR="00630F39">
        <w:rPr>
          <w:rFonts w:ascii="Open Sans Medium" w:eastAsia="Open Sans Medium" w:hAnsi="Open Sans Medium" w:cs="Open Sans Medium"/>
          <w:sz w:val="20"/>
          <w:szCs w:val="20"/>
        </w:rPr>
        <w:t>ntal organisations.</w:t>
      </w:r>
    </w:p>
    <w:p w:rsidR="002006E1" w:rsidRDefault="00630F39">
      <w:pPr>
        <w:numPr>
          <w:ilvl w:val="0"/>
          <w:numId w:val="2"/>
        </w:numPr>
        <w:spacing w:after="240"/>
        <w:rPr>
          <w:rFonts w:ascii="Open Sans Medium" w:eastAsia="Open Sans Medium" w:hAnsi="Open Sans Medium" w:cs="Open Sans Medium"/>
          <w:sz w:val="20"/>
          <w:szCs w:val="20"/>
        </w:rPr>
      </w:pPr>
      <w:r>
        <w:rPr>
          <w:rFonts w:ascii="Open Sans Medium" w:eastAsia="Open Sans Medium" w:hAnsi="Open Sans Medium" w:cs="Open Sans Medium"/>
          <w:sz w:val="20"/>
          <w:szCs w:val="20"/>
        </w:rPr>
        <w:t>Promote equality, diversity and inclusion in environmental research</w:t>
      </w:r>
    </w:p>
    <w:p w:rsidR="002006E1" w:rsidRDefault="002006E1">
      <w:pPr>
        <w:rPr>
          <w:rFonts w:ascii="Open Sans Medium" w:eastAsia="Open Sans Medium" w:hAnsi="Open Sans Medium" w:cs="Open Sans Medium"/>
          <w:sz w:val="20"/>
          <w:szCs w:val="20"/>
        </w:rPr>
      </w:pPr>
    </w:p>
    <w:p w:rsidR="002006E1" w:rsidRDefault="00630F39">
      <w:pPr>
        <w:pStyle w:val="Heading3"/>
      </w:pPr>
      <w:bookmarkStart w:id="1" w:name="_heading=h.30j0zll" w:colFirst="0" w:colLast="0"/>
      <w:bookmarkEnd w:id="1"/>
      <w:r>
        <w:lastRenderedPageBreak/>
        <w:t>Eligibility and Criteria</w:t>
      </w:r>
    </w:p>
    <w:p w:rsidR="002006E1" w:rsidRDefault="00630F39">
      <w:pPr>
        <w:numPr>
          <w:ilvl w:val="0"/>
          <w:numId w:val="4"/>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 xml:space="preserve">Open exclusively to PhD members of the Dunhill Academy Trust Academy (see </w:t>
      </w:r>
      <w:hyperlink r:id="rId8">
        <w:r>
          <w:rPr>
            <w:rFonts w:ascii="Open Sans Medium" w:eastAsia="Open Sans Medium" w:hAnsi="Open Sans Medium" w:cs="Open Sans Medium"/>
            <w:color w:val="1155CC"/>
            <w:sz w:val="20"/>
            <w:szCs w:val="20"/>
            <w:u w:val="single"/>
          </w:rPr>
          <w:t>here</w:t>
        </w:r>
      </w:hyperlink>
      <w:r>
        <w:rPr>
          <w:rFonts w:ascii="Open Sans Medium" w:eastAsia="Open Sans Medium" w:hAnsi="Open Sans Medium" w:cs="Open Sans Medium"/>
          <w:sz w:val="20"/>
          <w:szCs w:val="20"/>
        </w:rPr>
        <w:t xml:space="preserve"> for details on applying), or PhD students based in</w:t>
      </w:r>
      <w:r w:rsidR="00F049A4">
        <w:rPr>
          <w:rFonts w:ascii="Open Sans Medium" w:eastAsia="Open Sans Medium" w:hAnsi="Open Sans Medium" w:cs="Open Sans Medium"/>
          <w:sz w:val="20"/>
          <w:szCs w:val="20"/>
        </w:rPr>
        <w:t xml:space="preserve"> a founding member institution </w:t>
      </w:r>
      <w:r>
        <w:rPr>
          <w:rFonts w:ascii="Open Sans Medium" w:eastAsia="Open Sans Medium" w:hAnsi="Open Sans Medium" w:cs="Open Sans Medium"/>
          <w:sz w:val="20"/>
          <w:szCs w:val="20"/>
        </w:rPr>
        <w:t xml:space="preserve">of UKAgeNet. </w:t>
      </w:r>
    </w:p>
    <w:p w:rsidR="002006E1" w:rsidRDefault="00630F39">
      <w:pPr>
        <w:numPr>
          <w:ilvl w:val="0"/>
          <w:numId w:val="4"/>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The project/activity must clearly align with one of the broad areas covered by remits of the UKAgeNet network and the Dunhill Medical Trust Academy, wh</w:t>
      </w:r>
      <w:r>
        <w:rPr>
          <w:rFonts w:ascii="Open Sans Medium" w:eastAsia="Open Sans Medium" w:hAnsi="Open Sans Medium" w:cs="Open Sans Medium"/>
          <w:sz w:val="20"/>
          <w:szCs w:val="20"/>
        </w:rPr>
        <w:t xml:space="preserve">ich loosely correspond to: </w:t>
      </w:r>
    </w:p>
    <w:p w:rsidR="002006E1" w:rsidRDefault="00630F39">
      <w:pPr>
        <w:numPr>
          <w:ilvl w:val="1"/>
          <w:numId w:val="4"/>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Understanding of ageing</w:t>
      </w:r>
    </w:p>
    <w:p w:rsidR="002006E1" w:rsidRDefault="00630F39">
      <w:pPr>
        <w:numPr>
          <w:ilvl w:val="1"/>
          <w:numId w:val="4"/>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Understanding of treatment of age-related disease</w:t>
      </w:r>
    </w:p>
    <w:p w:rsidR="002006E1" w:rsidRDefault="00630F39">
      <w:pPr>
        <w:numPr>
          <w:ilvl w:val="1"/>
          <w:numId w:val="4"/>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Delivering and developing evidence-led services, products and interventions that improve our experience of later life</w:t>
      </w:r>
    </w:p>
    <w:p w:rsidR="002006E1" w:rsidRDefault="00630F39">
      <w:pPr>
        <w:numPr>
          <w:ilvl w:val="0"/>
          <w:numId w:val="4"/>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The project/activity must be of clear benefit to the future career development of the PhD student discipline hopper.</w:t>
      </w:r>
    </w:p>
    <w:p w:rsidR="002006E1" w:rsidRDefault="00630F39">
      <w:pPr>
        <w:numPr>
          <w:ilvl w:val="0"/>
          <w:numId w:val="4"/>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The project must demonstrate engagement from members of the teams at more senior levels from the home and host institutions and needs to be</w:t>
      </w:r>
      <w:r>
        <w:rPr>
          <w:rFonts w:ascii="Open Sans Medium" w:eastAsia="Open Sans Medium" w:hAnsi="Open Sans Medium" w:cs="Open Sans Medium"/>
          <w:sz w:val="20"/>
          <w:szCs w:val="20"/>
        </w:rPr>
        <w:t xml:space="preserve"> signed off by the student’s supervisor </w:t>
      </w:r>
    </w:p>
    <w:p w:rsidR="002006E1" w:rsidRDefault="00630F39">
      <w:pPr>
        <w:numPr>
          <w:ilvl w:val="0"/>
          <w:numId w:val="4"/>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Discipline hopping is defined for this call as a hop from either;</w:t>
      </w:r>
    </w:p>
    <w:p w:rsidR="002006E1" w:rsidRDefault="00630F39">
      <w:pPr>
        <w:numPr>
          <w:ilvl w:val="1"/>
          <w:numId w:val="4"/>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 xml:space="preserve">a) the biological/biomedical to the social sciences, </w:t>
      </w:r>
      <w:r>
        <w:rPr>
          <w:rFonts w:ascii="Open Sans" w:eastAsia="Open Sans" w:hAnsi="Open Sans" w:cs="Open Sans"/>
          <w:b/>
          <w:sz w:val="20"/>
          <w:szCs w:val="20"/>
        </w:rPr>
        <w:t>and vice versa</w:t>
      </w:r>
    </w:p>
    <w:p w:rsidR="002006E1" w:rsidRDefault="00630F39">
      <w:pPr>
        <w:numPr>
          <w:ilvl w:val="1"/>
          <w:numId w:val="4"/>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 xml:space="preserve">c) sector to sector (i.e. academia to policy making) </w:t>
      </w:r>
    </w:p>
    <w:p w:rsidR="002006E1" w:rsidRDefault="00630F39">
      <w:pPr>
        <w:numPr>
          <w:ilvl w:val="0"/>
          <w:numId w:val="4"/>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Placements must be complete</w:t>
      </w:r>
      <w:r>
        <w:rPr>
          <w:rFonts w:ascii="Open Sans Medium" w:eastAsia="Open Sans Medium" w:hAnsi="Open Sans Medium" w:cs="Open Sans Medium"/>
          <w:sz w:val="20"/>
          <w:szCs w:val="20"/>
        </w:rPr>
        <w:t xml:space="preserve">d by </w:t>
      </w:r>
      <w:r>
        <w:rPr>
          <w:rFonts w:ascii="Open Sans Medium" w:eastAsia="Open Sans Medium" w:hAnsi="Open Sans Medium" w:cs="Open Sans Medium"/>
          <w:color w:val="FF0000"/>
          <w:sz w:val="20"/>
          <w:szCs w:val="20"/>
        </w:rPr>
        <w:t>4th November 2025.</w:t>
      </w:r>
    </w:p>
    <w:p w:rsidR="002006E1" w:rsidRDefault="002006E1"/>
    <w:p w:rsidR="002006E1" w:rsidRDefault="00630F39">
      <w:pPr>
        <w:pStyle w:val="Heading3"/>
      </w:pPr>
      <w:bookmarkStart w:id="2" w:name="_heading=h.1fob9te" w:colFirst="0" w:colLast="0"/>
      <w:bookmarkEnd w:id="2"/>
      <w:r>
        <w:t xml:space="preserve">Eligible Costs and Activities </w:t>
      </w:r>
    </w:p>
    <w:p w:rsidR="002006E1" w:rsidRDefault="00630F39">
      <w:p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Funding covers only directly incurred costs and may be requested to support the following types of activities:</w:t>
      </w:r>
    </w:p>
    <w:p w:rsidR="002006E1" w:rsidRDefault="00630F39">
      <w:pPr>
        <w:numPr>
          <w:ilvl w:val="0"/>
          <w:numId w:val="1"/>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Extension to PhD student salary for the specific purpose of completing the project output</w:t>
      </w:r>
      <w:r>
        <w:rPr>
          <w:rFonts w:ascii="Open Sans Medium" w:eastAsia="Open Sans Medium" w:hAnsi="Open Sans Medium" w:cs="Open Sans Medium"/>
          <w:sz w:val="20"/>
          <w:szCs w:val="20"/>
        </w:rPr>
        <w:t xml:space="preserve"> (expected to be 2-3 months);</w:t>
      </w:r>
    </w:p>
    <w:p w:rsidR="002006E1" w:rsidRDefault="00630F39">
      <w:pPr>
        <w:numPr>
          <w:ilvl w:val="0"/>
          <w:numId w:val="1"/>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Travel and subsistence costs for the ECR discipline hopper</w:t>
      </w:r>
    </w:p>
    <w:p w:rsidR="002006E1" w:rsidRDefault="00630F39">
      <w:pPr>
        <w:numPr>
          <w:ilvl w:val="0"/>
          <w:numId w:val="1"/>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Consumables</w:t>
      </w:r>
    </w:p>
    <w:p w:rsidR="002006E1" w:rsidRDefault="002006E1"/>
    <w:p w:rsidR="002006E1" w:rsidRDefault="00630F39">
      <w:pPr>
        <w:pStyle w:val="Heading3"/>
      </w:pPr>
      <w:bookmarkStart w:id="3" w:name="_heading=h.3znysh7" w:colFirst="0" w:colLast="0"/>
      <w:bookmarkEnd w:id="3"/>
      <w:r>
        <w:t xml:space="preserve">How to Apply </w:t>
      </w:r>
    </w:p>
    <w:p w:rsidR="002006E1" w:rsidRPr="00F049A4" w:rsidRDefault="00F049A4" w:rsidP="00F049A4">
      <w:pPr>
        <w:rPr>
          <w:rFonts w:ascii="Open Sans Medium" w:eastAsia="Open Sans Medium" w:hAnsi="Open Sans Medium" w:cs="Open Sans Medium"/>
          <w:sz w:val="20"/>
          <w:szCs w:val="20"/>
        </w:rPr>
      </w:pPr>
      <w:r w:rsidRPr="00F049A4">
        <w:rPr>
          <w:rFonts w:ascii="Open Sans Medium" w:eastAsia="Open Sans Medium" w:hAnsi="Open Sans Medium" w:cs="Open Sans Medium"/>
          <w:sz w:val="20"/>
          <w:szCs w:val="20"/>
        </w:rPr>
        <w:t xml:space="preserve">To apply please complete the application form (see </w:t>
      </w:r>
      <w:hyperlink r:id="rId9" w:history="1">
        <w:r w:rsidRPr="00F049A4">
          <w:rPr>
            <w:rStyle w:val="Hyperlink"/>
            <w:rFonts w:ascii="Open Sans Medium" w:eastAsia="Open Sans Medium" w:hAnsi="Open Sans Medium" w:cs="Open Sans Medium"/>
            <w:sz w:val="20"/>
            <w:szCs w:val="20"/>
          </w:rPr>
          <w:t>here</w:t>
        </w:r>
      </w:hyperlink>
      <w:bookmarkStart w:id="4" w:name="_GoBack"/>
      <w:bookmarkEnd w:id="4"/>
      <w:r w:rsidRPr="00F049A4">
        <w:rPr>
          <w:rFonts w:ascii="Open Sans Medium" w:eastAsia="Open Sans Medium" w:hAnsi="Open Sans Medium" w:cs="Open Sans Medium"/>
          <w:sz w:val="20"/>
          <w:szCs w:val="20"/>
        </w:rPr>
        <w:t xml:space="preserve">) </w:t>
      </w:r>
      <w:r w:rsidR="00630F39" w:rsidRPr="00F049A4">
        <w:rPr>
          <w:rFonts w:ascii="Open Sans Medium" w:eastAsia="Open Sans Medium" w:hAnsi="Open Sans Medium" w:cs="Open Sans Medium"/>
          <w:sz w:val="20"/>
          <w:szCs w:val="20"/>
        </w:rPr>
        <w:t xml:space="preserve">and submit by 5pm on </w:t>
      </w:r>
      <w:r w:rsidR="00630F39" w:rsidRPr="00F049A4">
        <w:rPr>
          <w:rFonts w:ascii="Open Sans Medium" w:eastAsia="Open Sans Medium" w:hAnsi="Open Sans Medium" w:cs="Open Sans Medium"/>
          <w:sz w:val="20"/>
          <w:szCs w:val="20"/>
        </w:rPr>
        <w:t xml:space="preserve">4th November 2024 </w:t>
      </w:r>
      <w:r>
        <w:rPr>
          <w:rFonts w:ascii="Open Sans Medium" w:eastAsia="Open Sans Medium" w:hAnsi="Open Sans Medium" w:cs="Open Sans Medium"/>
          <w:sz w:val="20"/>
          <w:szCs w:val="20"/>
        </w:rPr>
        <w:t xml:space="preserve">to </w:t>
      </w:r>
      <w:hyperlink r:id="rId10" w:history="1">
        <w:r w:rsidRPr="00F049A4">
          <w:rPr>
            <w:rStyle w:val="Hyperlink"/>
            <w:rFonts w:ascii="Open Sans Medium" w:eastAsia="Open Sans Medium" w:hAnsi="Open Sans Medium" w:cs="Open Sans Medium"/>
            <w:color w:val="auto"/>
            <w:sz w:val="20"/>
            <w:szCs w:val="20"/>
            <w:u w:val="none"/>
          </w:rPr>
          <w:t>ukagenet@sheffield.ac.uk</w:t>
        </w:r>
      </w:hyperlink>
      <w:r w:rsidR="00630F39" w:rsidRPr="00F049A4">
        <w:rPr>
          <w:rFonts w:ascii="Open Sans Medium" w:eastAsia="Open Sans Medium" w:hAnsi="Open Sans Medium" w:cs="Open Sans Medium"/>
          <w:sz w:val="20"/>
          <w:szCs w:val="20"/>
        </w:rPr>
        <w:t xml:space="preserve">. </w:t>
      </w:r>
    </w:p>
    <w:p w:rsidR="002006E1" w:rsidRDefault="002006E1">
      <w:pPr>
        <w:rPr>
          <w:rFonts w:ascii="Open Sans Medium" w:eastAsia="Open Sans Medium" w:hAnsi="Open Sans Medium" w:cs="Open Sans Medium"/>
          <w:sz w:val="20"/>
          <w:szCs w:val="20"/>
        </w:rPr>
      </w:pPr>
    </w:p>
    <w:p w:rsidR="002006E1" w:rsidRDefault="00630F39">
      <w:p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All members of the application team, including the current PhD supervisor (if the PhD student is the applicant) and the host of the discipline hop, as well as the Head of the Institution/Organisation hosting the researche</w:t>
      </w:r>
      <w:r>
        <w:rPr>
          <w:rFonts w:ascii="Open Sans Medium" w:eastAsia="Open Sans Medium" w:hAnsi="Open Sans Medium" w:cs="Open Sans Medium"/>
          <w:sz w:val="20"/>
          <w:szCs w:val="20"/>
        </w:rPr>
        <w:t>r must approve the application.</w:t>
      </w:r>
    </w:p>
    <w:p w:rsidR="002006E1" w:rsidRDefault="002006E1">
      <w:pPr>
        <w:rPr>
          <w:rFonts w:ascii="Open Sans Medium" w:eastAsia="Open Sans Medium" w:hAnsi="Open Sans Medium" w:cs="Open Sans Medium"/>
          <w:sz w:val="20"/>
          <w:szCs w:val="20"/>
        </w:rPr>
      </w:pPr>
    </w:p>
    <w:p w:rsidR="002006E1" w:rsidRDefault="00630F39">
      <w:p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 xml:space="preserve">A disciplinarily diverse panel consisting of </w:t>
      </w:r>
      <w:proofErr w:type="spellStart"/>
      <w:r>
        <w:rPr>
          <w:rFonts w:ascii="Open Sans Medium" w:eastAsia="Open Sans Medium" w:hAnsi="Open Sans Medium" w:cs="Open Sans Medium"/>
          <w:sz w:val="20"/>
          <w:szCs w:val="20"/>
        </w:rPr>
        <w:t>unconflicted</w:t>
      </w:r>
      <w:proofErr w:type="spellEnd"/>
      <w:r>
        <w:rPr>
          <w:rFonts w:ascii="Open Sans Medium" w:eastAsia="Open Sans Medium" w:hAnsi="Open Sans Medium" w:cs="Open Sans Medium"/>
          <w:sz w:val="20"/>
          <w:szCs w:val="20"/>
        </w:rPr>
        <w:t xml:space="preserve"> members from the UKAgeNet network and Dunhill Medical Trust will rank all applications. </w:t>
      </w:r>
    </w:p>
    <w:p w:rsidR="002006E1" w:rsidRDefault="002006E1">
      <w:pPr>
        <w:rPr>
          <w:rFonts w:ascii="Open Sans Medium" w:eastAsia="Open Sans Medium" w:hAnsi="Open Sans Medium" w:cs="Open Sans Medium"/>
          <w:sz w:val="20"/>
          <w:szCs w:val="20"/>
        </w:rPr>
      </w:pPr>
    </w:p>
    <w:p w:rsidR="002006E1" w:rsidRDefault="00630F39">
      <w:p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 xml:space="preserve">Applications will be assessed on the criteria above, namely: </w:t>
      </w:r>
    </w:p>
    <w:p w:rsidR="002006E1" w:rsidRDefault="00630F39">
      <w:pPr>
        <w:numPr>
          <w:ilvl w:val="0"/>
          <w:numId w:val="3"/>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The feasibili</w:t>
      </w:r>
      <w:r>
        <w:rPr>
          <w:rFonts w:ascii="Open Sans Medium" w:eastAsia="Open Sans Medium" w:hAnsi="Open Sans Medium" w:cs="Open Sans Medium"/>
          <w:sz w:val="20"/>
          <w:szCs w:val="20"/>
        </w:rPr>
        <w:t>ty and quality of the project proposal</w:t>
      </w:r>
    </w:p>
    <w:p w:rsidR="002006E1" w:rsidRDefault="00630F39">
      <w:pPr>
        <w:numPr>
          <w:ilvl w:val="0"/>
          <w:numId w:val="3"/>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The alignment to the challenge areas</w:t>
      </w:r>
    </w:p>
    <w:p w:rsidR="002006E1" w:rsidRDefault="00630F39">
      <w:pPr>
        <w:numPr>
          <w:ilvl w:val="0"/>
          <w:numId w:val="3"/>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The proposed benefit to the future development of the PhD student</w:t>
      </w:r>
    </w:p>
    <w:p w:rsidR="002006E1" w:rsidRDefault="00630F39">
      <w:pPr>
        <w:numPr>
          <w:ilvl w:val="0"/>
          <w:numId w:val="3"/>
        </w:num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lastRenderedPageBreak/>
        <w:t xml:space="preserve">The sustainability and potential impact of the new partnership </w:t>
      </w:r>
    </w:p>
    <w:p w:rsidR="002006E1" w:rsidRDefault="002006E1">
      <w:pPr>
        <w:rPr>
          <w:rFonts w:ascii="Open Sans Medium" w:eastAsia="Open Sans Medium" w:hAnsi="Open Sans Medium" w:cs="Open Sans Medium"/>
          <w:sz w:val="20"/>
          <w:szCs w:val="20"/>
        </w:rPr>
      </w:pPr>
      <w:bookmarkStart w:id="5" w:name="_heading=h.2et92p0" w:colFirst="0" w:colLast="0"/>
      <w:bookmarkEnd w:id="5"/>
    </w:p>
    <w:p w:rsidR="002006E1" w:rsidRDefault="00630F39">
      <w:p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 xml:space="preserve">For further information, please contact </w:t>
      </w:r>
      <w:hyperlink r:id="rId11">
        <w:r>
          <w:rPr>
            <w:rFonts w:ascii="Open Sans Medium" w:eastAsia="Open Sans Medium" w:hAnsi="Open Sans Medium" w:cs="Open Sans Medium"/>
            <w:color w:val="1155CC"/>
            <w:sz w:val="20"/>
            <w:szCs w:val="20"/>
            <w:u w:val="single"/>
          </w:rPr>
          <w:t>ukagenet@sheffield.ac.uk</w:t>
        </w:r>
      </w:hyperlink>
      <w:r>
        <w:rPr>
          <w:rFonts w:ascii="Open Sans Medium" w:eastAsia="Open Sans Medium" w:hAnsi="Open Sans Medium" w:cs="Open Sans Medium"/>
          <w:sz w:val="20"/>
          <w:szCs w:val="20"/>
        </w:rPr>
        <w:t xml:space="preserve">. </w:t>
      </w:r>
    </w:p>
    <w:p w:rsidR="002006E1" w:rsidRDefault="002006E1"/>
    <w:p w:rsidR="002006E1" w:rsidRDefault="002006E1"/>
    <w:p w:rsidR="002006E1" w:rsidRDefault="00630F39">
      <w:pPr>
        <w:pStyle w:val="Heading3"/>
      </w:pPr>
      <w:bookmarkStart w:id="6" w:name="_heading=h.tyjcwt" w:colFirst="0" w:colLast="0"/>
      <w:bookmarkEnd w:id="6"/>
      <w:r>
        <w:t>Timeline</w:t>
      </w:r>
    </w:p>
    <w:p w:rsidR="002006E1" w:rsidRDefault="00630F39">
      <w:p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1</w:t>
      </w:r>
      <w:r>
        <w:rPr>
          <w:rFonts w:ascii="Open Sans Medium" w:eastAsia="Open Sans Medium" w:hAnsi="Open Sans Medium" w:cs="Open Sans Medium"/>
          <w:sz w:val="20"/>
          <w:szCs w:val="20"/>
          <w:vertAlign w:val="superscript"/>
        </w:rPr>
        <w:t>st</w:t>
      </w:r>
      <w:r>
        <w:rPr>
          <w:rFonts w:ascii="Open Sans Medium" w:eastAsia="Open Sans Medium" w:hAnsi="Open Sans Medium" w:cs="Open Sans Medium"/>
          <w:sz w:val="20"/>
          <w:szCs w:val="20"/>
        </w:rPr>
        <w:t xml:space="preserve"> August 2024 – Call opens </w:t>
      </w:r>
    </w:p>
    <w:p w:rsidR="002006E1" w:rsidRDefault="00630F39">
      <w:p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4 November 2024 – Call closes</w:t>
      </w:r>
    </w:p>
    <w:p w:rsidR="002006E1" w:rsidRDefault="00630F39">
      <w:p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25 November 2024   – Outcome to applicants</w:t>
      </w:r>
    </w:p>
    <w:p w:rsidR="002006E1" w:rsidRDefault="00630F39">
      <w:p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2 December 2024   – Exchanges can begin</w:t>
      </w:r>
    </w:p>
    <w:p w:rsidR="002006E1" w:rsidRDefault="00630F39">
      <w:p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 xml:space="preserve">4 November </w:t>
      </w:r>
      <w:proofErr w:type="gramStart"/>
      <w:r>
        <w:rPr>
          <w:rFonts w:ascii="Open Sans Medium" w:eastAsia="Open Sans Medium" w:hAnsi="Open Sans Medium" w:cs="Open Sans Medium"/>
          <w:sz w:val="20"/>
          <w:szCs w:val="20"/>
        </w:rPr>
        <w:t>2025  –</w:t>
      </w:r>
      <w:proofErr w:type="gramEnd"/>
      <w:r>
        <w:rPr>
          <w:rFonts w:ascii="Open Sans Medium" w:eastAsia="Open Sans Medium" w:hAnsi="Open Sans Medium" w:cs="Open Sans Medium"/>
          <w:sz w:val="20"/>
          <w:szCs w:val="20"/>
        </w:rPr>
        <w:t xml:space="preserve"> Exchang</w:t>
      </w:r>
      <w:r>
        <w:rPr>
          <w:rFonts w:ascii="Open Sans Medium" w:eastAsia="Open Sans Medium" w:hAnsi="Open Sans Medium" w:cs="Open Sans Medium"/>
          <w:sz w:val="20"/>
          <w:szCs w:val="20"/>
        </w:rPr>
        <w:t>es must end</w:t>
      </w:r>
    </w:p>
    <w:p w:rsidR="002006E1" w:rsidRDefault="00630F39">
      <w:pPr>
        <w:rPr>
          <w:rFonts w:ascii="Open Sans Medium" w:eastAsia="Open Sans Medium" w:hAnsi="Open Sans Medium" w:cs="Open Sans Medium"/>
          <w:sz w:val="20"/>
          <w:szCs w:val="20"/>
        </w:rPr>
      </w:pPr>
      <w:proofErr w:type="spellStart"/>
      <w:r>
        <w:rPr>
          <w:rFonts w:ascii="Open Sans Medium" w:eastAsia="Open Sans Medium" w:hAnsi="Open Sans Medium" w:cs="Open Sans Medium"/>
          <w:sz w:val="20"/>
          <w:szCs w:val="20"/>
        </w:rPr>
        <w:t>Mid February</w:t>
      </w:r>
      <w:proofErr w:type="spellEnd"/>
      <w:r>
        <w:rPr>
          <w:rFonts w:ascii="Open Sans Medium" w:eastAsia="Open Sans Medium" w:hAnsi="Open Sans Medium" w:cs="Open Sans Medium"/>
          <w:sz w:val="20"/>
          <w:szCs w:val="20"/>
        </w:rPr>
        <w:t xml:space="preserve"> 2026 – Programme meeting/workshop (to share outcomes)</w:t>
      </w:r>
    </w:p>
    <w:p w:rsidR="002006E1" w:rsidRDefault="002006E1">
      <w:pPr>
        <w:pStyle w:val="Heading3"/>
      </w:pPr>
      <w:bookmarkStart w:id="7" w:name="_heading=h.3dy6vkm" w:colFirst="0" w:colLast="0"/>
      <w:bookmarkEnd w:id="7"/>
    </w:p>
    <w:p w:rsidR="002006E1" w:rsidRDefault="002006E1"/>
    <w:p w:rsidR="002006E1" w:rsidRDefault="00630F39">
      <w:pPr>
        <w:pStyle w:val="Heading3"/>
        <w:rPr>
          <w:rFonts w:ascii="Open Sans Medium" w:eastAsia="Open Sans Medium" w:hAnsi="Open Sans Medium" w:cs="Open Sans Medium"/>
          <w:sz w:val="20"/>
          <w:szCs w:val="20"/>
        </w:rPr>
      </w:pPr>
      <w:bookmarkStart w:id="8" w:name="_heading=h.1t3h5sf" w:colFirst="0" w:colLast="0"/>
      <w:bookmarkEnd w:id="8"/>
      <w:r>
        <w:t>Successful Candidates</w:t>
      </w:r>
    </w:p>
    <w:p w:rsidR="002006E1" w:rsidRDefault="00630F39">
      <w:pPr>
        <w:rPr>
          <w:rFonts w:ascii="Open Sans Medium" w:eastAsia="Open Sans Medium" w:hAnsi="Open Sans Medium" w:cs="Open Sans Medium"/>
          <w:sz w:val="20"/>
          <w:szCs w:val="20"/>
        </w:rPr>
      </w:pPr>
      <w:r>
        <w:rPr>
          <w:rFonts w:ascii="Open Sans Medium" w:eastAsia="Open Sans Medium" w:hAnsi="Open Sans Medium" w:cs="Open Sans Medium"/>
          <w:sz w:val="20"/>
          <w:szCs w:val="20"/>
        </w:rPr>
        <w:t>Successful applicants will be informed by 25th November of the outcome of the applications. Exchanges can begin from 2nd December 2024, and so early conv</w:t>
      </w:r>
      <w:r>
        <w:rPr>
          <w:rFonts w:ascii="Open Sans Medium" w:eastAsia="Open Sans Medium" w:hAnsi="Open Sans Medium" w:cs="Open Sans Medium"/>
          <w:sz w:val="20"/>
          <w:szCs w:val="20"/>
        </w:rPr>
        <w:t>ersations with the institution regarding the placement and potential contract extensions are essential. All funds must be spent by the end of 2025 – there are no opportunities for extensions. All successful applicants agree to participate in a concluding w</w:t>
      </w:r>
      <w:r>
        <w:rPr>
          <w:rFonts w:ascii="Open Sans Medium" w:eastAsia="Open Sans Medium" w:hAnsi="Open Sans Medium" w:cs="Open Sans Medium"/>
          <w:sz w:val="20"/>
          <w:szCs w:val="20"/>
        </w:rPr>
        <w:t>orkshop and complete a case study report about their experiences.</w:t>
      </w:r>
    </w:p>
    <w:p w:rsidR="002006E1" w:rsidRDefault="002006E1">
      <w:pPr>
        <w:rPr>
          <w:rFonts w:ascii="Open Sans Medium" w:eastAsia="Open Sans Medium" w:hAnsi="Open Sans Medium" w:cs="Open Sans Medium"/>
          <w:sz w:val="20"/>
          <w:szCs w:val="20"/>
        </w:rPr>
      </w:pPr>
    </w:p>
    <w:p w:rsidR="002006E1" w:rsidRDefault="002006E1"/>
    <w:p w:rsidR="002006E1" w:rsidRDefault="002006E1"/>
    <w:p w:rsidR="002006E1" w:rsidRDefault="002006E1">
      <w:pPr>
        <w:rPr>
          <w:rFonts w:ascii="Open Sans" w:eastAsia="Open Sans" w:hAnsi="Open Sans" w:cs="Open Sans"/>
          <w:b/>
          <w:color w:val="7FA79E"/>
          <w:sz w:val="20"/>
          <w:szCs w:val="20"/>
        </w:rPr>
      </w:pPr>
    </w:p>
    <w:sectPr w:rsidR="002006E1">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F39" w:rsidRDefault="00630F39">
      <w:pPr>
        <w:spacing w:line="240" w:lineRule="auto"/>
      </w:pPr>
      <w:r>
        <w:separator/>
      </w:r>
    </w:p>
  </w:endnote>
  <w:endnote w:type="continuationSeparator" w:id="0">
    <w:p w:rsidR="00630F39" w:rsidRDefault="0063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auto"/>
    <w:pitch w:val="default"/>
  </w:font>
  <w:font w:name="Segoe UI">
    <w:panose1 w:val="020B0502040204020203"/>
    <w:charset w:val="00"/>
    <w:family w:val="roman"/>
    <w:notTrueType/>
    <w:pitch w:val="default"/>
  </w:font>
  <w:font w:name="Open Sans Medium">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F39" w:rsidRDefault="00630F39">
      <w:pPr>
        <w:spacing w:line="240" w:lineRule="auto"/>
      </w:pPr>
      <w:r>
        <w:separator/>
      </w:r>
    </w:p>
  </w:footnote>
  <w:footnote w:type="continuationSeparator" w:id="0">
    <w:p w:rsidR="00630F39" w:rsidRDefault="00630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E1" w:rsidRDefault="00630F39">
    <w:r>
      <w:rPr>
        <w:noProof/>
      </w:rPr>
      <w:drawing>
        <wp:anchor distT="114300" distB="114300" distL="114300" distR="114300" simplePos="0" relativeHeight="251658240" behindDoc="0" locked="0" layoutInCell="1" hidden="0" allowOverlap="1">
          <wp:simplePos x="0" y="0"/>
          <wp:positionH relativeFrom="column">
            <wp:posOffset>5410200</wp:posOffset>
          </wp:positionH>
          <wp:positionV relativeFrom="paragraph">
            <wp:posOffset>-342897</wp:posOffset>
          </wp:positionV>
          <wp:extent cx="1138238" cy="650421"/>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8238" cy="65042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ECD"/>
    <w:multiLevelType w:val="multilevel"/>
    <w:tmpl w:val="B5647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94520E"/>
    <w:multiLevelType w:val="multilevel"/>
    <w:tmpl w:val="427A9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E97E49"/>
    <w:multiLevelType w:val="multilevel"/>
    <w:tmpl w:val="014C3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E001E4"/>
    <w:multiLevelType w:val="multilevel"/>
    <w:tmpl w:val="4B543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E1"/>
    <w:rsid w:val="002006E1"/>
    <w:rsid w:val="00630F39"/>
    <w:rsid w:val="00F049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12AB"/>
  <w15:docId w15:val="{A2FFD01C-4C03-4580-9273-FB19A2DD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outlineLvl w:val="2"/>
    </w:pPr>
    <w:rPr>
      <w:rFonts w:ascii="Open Sans" w:eastAsia="Open Sans" w:hAnsi="Open Sans" w:cs="Open Sans"/>
      <w:b/>
      <w:color w:val="7FA79E"/>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4D3D5B"/>
    <w:pPr>
      <w:spacing w:line="240" w:lineRule="auto"/>
    </w:pPr>
  </w:style>
  <w:style w:type="character" w:styleId="CommentReference">
    <w:name w:val="annotation reference"/>
    <w:basedOn w:val="DefaultParagraphFont"/>
    <w:uiPriority w:val="99"/>
    <w:semiHidden/>
    <w:unhideWhenUsed/>
    <w:rsid w:val="004D3D5B"/>
    <w:rPr>
      <w:sz w:val="16"/>
      <w:szCs w:val="16"/>
    </w:rPr>
  </w:style>
  <w:style w:type="paragraph" w:styleId="CommentText">
    <w:name w:val="annotation text"/>
    <w:basedOn w:val="Normal"/>
    <w:link w:val="CommentTextChar"/>
    <w:uiPriority w:val="99"/>
    <w:unhideWhenUsed/>
    <w:rsid w:val="004D3D5B"/>
    <w:pPr>
      <w:spacing w:line="240" w:lineRule="auto"/>
    </w:pPr>
    <w:rPr>
      <w:sz w:val="20"/>
      <w:szCs w:val="20"/>
    </w:rPr>
  </w:style>
  <w:style w:type="character" w:customStyle="1" w:styleId="CommentTextChar">
    <w:name w:val="Comment Text Char"/>
    <w:basedOn w:val="DefaultParagraphFont"/>
    <w:link w:val="CommentText"/>
    <w:uiPriority w:val="99"/>
    <w:rsid w:val="004D3D5B"/>
    <w:rPr>
      <w:sz w:val="20"/>
      <w:szCs w:val="20"/>
    </w:rPr>
  </w:style>
  <w:style w:type="paragraph" w:styleId="CommentSubject">
    <w:name w:val="annotation subject"/>
    <w:basedOn w:val="CommentText"/>
    <w:next w:val="CommentText"/>
    <w:link w:val="CommentSubjectChar"/>
    <w:uiPriority w:val="99"/>
    <w:semiHidden/>
    <w:unhideWhenUsed/>
    <w:rsid w:val="004D3D5B"/>
    <w:rPr>
      <w:b/>
      <w:bCs/>
    </w:rPr>
  </w:style>
  <w:style w:type="character" w:customStyle="1" w:styleId="CommentSubjectChar">
    <w:name w:val="Comment Subject Char"/>
    <w:basedOn w:val="CommentTextChar"/>
    <w:link w:val="CommentSubject"/>
    <w:uiPriority w:val="99"/>
    <w:semiHidden/>
    <w:rsid w:val="004D3D5B"/>
    <w:rPr>
      <w:b/>
      <w:bCs/>
      <w:sz w:val="20"/>
      <w:szCs w:val="20"/>
    </w:rPr>
  </w:style>
  <w:style w:type="paragraph" w:styleId="BalloonText">
    <w:name w:val="Balloon Text"/>
    <w:basedOn w:val="Normal"/>
    <w:link w:val="BalloonTextChar"/>
    <w:uiPriority w:val="99"/>
    <w:semiHidden/>
    <w:unhideWhenUsed/>
    <w:rsid w:val="000E6D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DA8"/>
    <w:rPr>
      <w:rFonts w:ascii="Segoe UI" w:hAnsi="Segoe UI" w:cs="Segoe UI"/>
      <w:sz w:val="18"/>
      <w:szCs w:val="18"/>
    </w:rPr>
  </w:style>
  <w:style w:type="character" w:styleId="Hyperlink">
    <w:name w:val="Hyperlink"/>
    <w:basedOn w:val="DefaultParagraphFont"/>
    <w:uiPriority w:val="99"/>
    <w:unhideWhenUsed/>
    <w:rsid w:val="00F04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unhillmedical.org.uk/academy/apply-to-jo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agenet@sheffield.ac.uk" TargetMode="External"/><Relationship Id="rId5" Type="http://schemas.openxmlformats.org/officeDocument/2006/relationships/webSettings" Target="webSettings.xml"/><Relationship Id="rId10" Type="http://schemas.openxmlformats.org/officeDocument/2006/relationships/hyperlink" Target="mailto:ukagenet@sheffield.ac.uk" TargetMode="External"/><Relationship Id="rId4" Type="http://schemas.openxmlformats.org/officeDocument/2006/relationships/settings" Target="settings.xml"/><Relationship Id="rId9" Type="http://schemas.openxmlformats.org/officeDocument/2006/relationships/hyperlink" Target="https://ukagenet.co.uk/discipline-hopping-awar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Ua4JmZfIkStO3KQecUWymlsB8Q==">CgMxLjAyCGguZ2pkZ3hzMgloLjMwajB6bGwyCWguMWZvYjl0ZTIJaC4zem55c2g3MgloLjJldDkycDAyCGgudHlqY3d0MgloLjNkeTZ2a20yCWguMXQzaDVzZjgAciExU29GaUs5NU5wbGNkQllhYjVCUG55S0tfVnhsMWJWSjU=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Bellantuono</dc:creator>
  <cp:lastModifiedBy>Gemma Stephens</cp:lastModifiedBy>
  <cp:revision>2</cp:revision>
  <dcterms:created xsi:type="dcterms:W3CDTF">2024-08-01T11:22:00Z</dcterms:created>
  <dcterms:modified xsi:type="dcterms:W3CDTF">2024-08-01T11:22:00Z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0x01010047F1749A63002041B84ECD9837D2D05B</vt:lpwstr>
  </property>
</Properties>
</file>